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27152" w14:textId="691AD0E4" w:rsidR="00941EB1" w:rsidRDefault="00194451" w:rsidP="00CD27D7">
      <w:pPr>
        <w:jc w:val="center"/>
      </w:pPr>
      <w:r>
        <w:t>РУКОВОДСТВО ПО ЭКСПЛУАТАЦИИ</w:t>
      </w:r>
    </w:p>
    <w:p w14:paraId="6732429C" w14:textId="77777777" w:rsidR="00941EB1" w:rsidRDefault="00194451" w:rsidP="00CD27D7">
      <w:pPr>
        <w:jc w:val="center"/>
        <w:rPr>
          <w:b/>
        </w:rPr>
      </w:pPr>
      <w:r>
        <w:rPr>
          <w:b/>
        </w:rPr>
        <w:t>ПРОМЫШЛЕННЫЙ ГЕНЕРАТОР ХОЛОДНОГО ТУМАНА.</w:t>
      </w:r>
    </w:p>
    <w:p w14:paraId="0E324320" w14:textId="77777777" w:rsidR="00941EB1" w:rsidRDefault="00194451" w:rsidP="00CD27D7">
      <w:pPr>
        <w:jc w:val="center"/>
        <w:rPr>
          <w:b/>
        </w:rPr>
      </w:pPr>
      <w:r>
        <w:rPr>
          <w:b/>
        </w:rPr>
        <w:t>МОДЕЛЬ CFG-602</w:t>
      </w:r>
    </w:p>
    <w:p w14:paraId="3945DE0B" w14:textId="07D559D0" w:rsidR="00941EB1" w:rsidRDefault="00CD27D7" w:rsidP="00CD27D7">
      <w:pPr>
        <w:jc w:val="both"/>
        <w:rPr>
          <w:b/>
        </w:rPr>
      </w:pPr>
      <w:r>
        <w:rPr>
          <w:b/>
          <w:noProof/>
        </w:rPr>
        <w:drawing>
          <wp:inline distT="0" distB="0" distL="0" distR="0" wp14:anchorId="1EE32B93" wp14:editId="2C050D15">
            <wp:extent cx="4762500" cy="476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642769" w14:textId="77777777" w:rsidR="00941EB1" w:rsidRDefault="00941EB1" w:rsidP="00CD27D7">
      <w:pPr>
        <w:jc w:val="both"/>
      </w:pPr>
    </w:p>
    <w:p w14:paraId="4548B1B3" w14:textId="77777777" w:rsidR="00941EB1" w:rsidRDefault="00194451" w:rsidP="00CD27D7">
      <w:pPr>
        <w:jc w:val="both"/>
        <w:rPr>
          <w:b/>
        </w:rPr>
      </w:pPr>
      <w:r>
        <w:rPr>
          <w:b/>
        </w:rPr>
        <w:t>ТЕХНИЧЕСКИЕ ХАРАКТЕРИСТИКИ</w:t>
      </w:r>
    </w:p>
    <w:p w14:paraId="10D5EF9B" w14:textId="4B02C02A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Вентилятор электродвигатель</w:t>
      </w:r>
      <w:r w:rsidR="00CD27D7">
        <w:t>:</w:t>
      </w:r>
      <w:r>
        <w:t xml:space="preserve"> 220 В </w:t>
      </w:r>
    </w:p>
    <w:p w14:paraId="7A55BD09" w14:textId="1B4F7FA3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Обороты</w:t>
      </w:r>
      <w:r w:rsidR="00CD27D7">
        <w:t>: около</w:t>
      </w:r>
      <w:r>
        <w:t xml:space="preserve"> 2800 об/мин (50 Гц) </w:t>
      </w:r>
    </w:p>
    <w:p w14:paraId="4641F728" w14:textId="3EA70C0A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Мощность двигателя</w:t>
      </w:r>
      <w:r w:rsidR="00CD27D7">
        <w:t>:</w:t>
      </w:r>
      <w:r>
        <w:t xml:space="preserve"> 660W (2 двигателя по 330 W каждый, один двигатель отвечает за движение головки, второй за производство тумана)</w:t>
      </w:r>
    </w:p>
    <w:p w14:paraId="6BB3A128" w14:textId="2985ABF5" w:rsidR="00941EB1" w:rsidRDefault="00194451" w:rsidP="00CD27D7">
      <w:pPr>
        <w:pStyle w:val="a5"/>
        <w:numPr>
          <w:ilvl w:val="0"/>
          <w:numId w:val="1"/>
        </w:numPr>
        <w:jc w:val="both"/>
      </w:pPr>
      <w:r>
        <w:t>Разворот головки</w:t>
      </w:r>
      <w:r w:rsidR="00CD27D7">
        <w:t>:</w:t>
      </w:r>
      <w:r>
        <w:t xml:space="preserve"> 90-120 градусов</w:t>
      </w:r>
    </w:p>
    <w:p w14:paraId="653A5D63" w14:textId="3422D5C4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Объем воздуха</w:t>
      </w:r>
      <w:r w:rsidR="00CD27D7">
        <w:t>:</w:t>
      </w:r>
      <w:r>
        <w:t xml:space="preserve"> максимум 6600 м3/час</w:t>
      </w:r>
    </w:p>
    <w:p w14:paraId="0B1D8180" w14:textId="25ECA0E8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Емкость рабочего раствора</w:t>
      </w:r>
      <w:r w:rsidR="00CD27D7">
        <w:t>:</w:t>
      </w:r>
      <w:r>
        <w:t xml:space="preserve"> </w:t>
      </w:r>
      <w:r w:rsidR="00CD27D7">
        <w:t>п</w:t>
      </w:r>
      <w:r>
        <w:t xml:space="preserve">олиэтилен 60 л </w:t>
      </w:r>
    </w:p>
    <w:p w14:paraId="05FDB983" w14:textId="1F8DE4FC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Вес (пустого)</w:t>
      </w:r>
      <w:r w:rsidR="00CD27D7">
        <w:t>: о</w:t>
      </w:r>
      <w:r>
        <w:t xml:space="preserve">коло 50 кг </w:t>
      </w:r>
    </w:p>
    <w:p w14:paraId="71C277EE" w14:textId="20A03622" w:rsidR="00941EB1" w:rsidRDefault="00194451" w:rsidP="00CD27D7">
      <w:pPr>
        <w:pStyle w:val="a5"/>
        <w:numPr>
          <w:ilvl w:val="0"/>
          <w:numId w:val="1"/>
        </w:numPr>
        <w:jc w:val="both"/>
      </w:pPr>
      <w:r>
        <w:t>Габаритные размеры</w:t>
      </w:r>
      <w:r w:rsidR="00CD27D7">
        <w:t>:</w:t>
      </w:r>
      <w:r>
        <w:t xml:space="preserve"> 93*62*56 см</w:t>
      </w:r>
    </w:p>
    <w:p w14:paraId="4C7FDF25" w14:textId="77777777" w:rsidR="00941EB1" w:rsidRDefault="00194451" w:rsidP="00CD27D7">
      <w:pPr>
        <w:jc w:val="both"/>
        <w:rPr>
          <w:b/>
        </w:rPr>
      </w:pPr>
      <w:r>
        <w:rPr>
          <w:b/>
        </w:rPr>
        <w:t xml:space="preserve">ПАРАМЕТРЫ ТУМАНА </w:t>
      </w:r>
    </w:p>
    <w:p w14:paraId="60A067AE" w14:textId="04EBD0F5" w:rsidR="00941EB1" w:rsidRDefault="00194451" w:rsidP="00CD27D7">
      <w:pPr>
        <w:pStyle w:val="a5"/>
        <w:numPr>
          <w:ilvl w:val="0"/>
          <w:numId w:val="2"/>
        </w:numPr>
        <w:jc w:val="both"/>
      </w:pPr>
      <w:r>
        <w:t>Производительность со стандартным распылителем</w:t>
      </w:r>
      <w:r w:rsidR="00CD27D7">
        <w:t>:</w:t>
      </w:r>
      <w:r>
        <w:t xml:space="preserve"> </w:t>
      </w:r>
      <w:r w:rsidR="00CD27D7">
        <w:t>о</w:t>
      </w:r>
      <w:r>
        <w:t xml:space="preserve">т 0 до 40 л/час </w:t>
      </w:r>
    </w:p>
    <w:p w14:paraId="04B664DE" w14:textId="545D43C6" w:rsidR="00941EB1" w:rsidRDefault="00194451" w:rsidP="00CD27D7">
      <w:pPr>
        <w:pStyle w:val="a5"/>
        <w:numPr>
          <w:ilvl w:val="0"/>
          <w:numId w:val="2"/>
        </w:numPr>
        <w:jc w:val="both"/>
      </w:pPr>
      <w:r>
        <w:t>Размер капли</w:t>
      </w:r>
      <w:r w:rsidR="00CD27D7">
        <w:t>:</w:t>
      </w:r>
      <w:r>
        <w:t xml:space="preserve"> 5-15 мкн</w:t>
      </w:r>
    </w:p>
    <w:p w14:paraId="64484647" w14:textId="18FDD4AE" w:rsidR="00941EB1" w:rsidRDefault="00194451" w:rsidP="00CD27D7">
      <w:pPr>
        <w:pStyle w:val="a5"/>
        <w:numPr>
          <w:ilvl w:val="0"/>
          <w:numId w:val="2"/>
        </w:numPr>
        <w:jc w:val="both"/>
      </w:pPr>
      <w:r>
        <w:t>Напряжение питания</w:t>
      </w:r>
      <w:r w:rsidR="00CD27D7">
        <w:t>:</w:t>
      </w:r>
      <w:r>
        <w:t xml:space="preserve"> 220-240 В/ /50 </w:t>
      </w:r>
      <w:proofErr w:type="spellStart"/>
      <w:r>
        <w:t>гЦ</w:t>
      </w:r>
      <w:proofErr w:type="spellEnd"/>
      <w:r>
        <w:t xml:space="preserve"> </w:t>
      </w:r>
    </w:p>
    <w:p w14:paraId="43BD0362" w14:textId="77777777" w:rsidR="00941EB1" w:rsidRDefault="00194451" w:rsidP="00CD27D7">
      <w:pPr>
        <w:jc w:val="both"/>
        <w:rPr>
          <w:b/>
        </w:rPr>
      </w:pPr>
      <w:r>
        <w:rPr>
          <w:b/>
        </w:rPr>
        <w:lastRenderedPageBreak/>
        <w:t xml:space="preserve">ПРИНЦИП РАБОТЫ ГЕНЕРАТОРОВ </w:t>
      </w:r>
    </w:p>
    <w:p w14:paraId="042F486A" w14:textId="32532800" w:rsidR="00941EB1" w:rsidRDefault="00194451" w:rsidP="00CD27D7">
      <w:pPr>
        <w:spacing w:after="0"/>
        <w:jc w:val="both"/>
      </w:pPr>
      <w:r>
        <w:t xml:space="preserve">Применение генератора холодного тумана для обработки гарантирует наилучшее распределение мелко капельного состава на всей площади обработки в режимах </w:t>
      </w:r>
      <w:proofErr w:type="spellStart"/>
      <w:r w:rsidR="00CD27D7">
        <w:t>ультрамалообъемного</w:t>
      </w:r>
      <w:proofErr w:type="spellEnd"/>
      <w:r>
        <w:t xml:space="preserve"> (УМО) и малообъемного (МО) режимах распыления. </w:t>
      </w:r>
    </w:p>
    <w:p w14:paraId="4109EB53" w14:textId="7F26580B" w:rsidR="00941EB1" w:rsidRDefault="00194451" w:rsidP="00CD27D7">
      <w:pPr>
        <w:spacing w:after="0"/>
        <w:jc w:val="both"/>
      </w:pPr>
      <w:r>
        <w:t>Принцип работы аэрозольного распылителя основан на центробежной силе. Электрический насос подаёт жидкость к распылительному диску, который при быстром вращении распределяет</w:t>
      </w:r>
      <w:r w:rsidR="00CD27D7">
        <w:t xml:space="preserve"> </w:t>
      </w:r>
      <w:r>
        <w:t xml:space="preserve">жидкость тонкой плёнкой по краям диска. После попадания жидкости на края диска мощный поток воздуха, создаваемый </w:t>
      </w:r>
      <w:r w:rsidR="00CD27D7">
        <w:t>электродвигателем,</w:t>
      </w:r>
      <w:r>
        <w:t xml:space="preserve"> разбивает их на мельчайшую дисперсия, образуя тем самым аэрозольное облако. </w:t>
      </w:r>
    </w:p>
    <w:p w14:paraId="34959C08" w14:textId="77777777" w:rsidR="00941EB1" w:rsidRDefault="00194451" w:rsidP="00CD27D7">
      <w:pPr>
        <w:jc w:val="both"/>
        <w:rPr>
          <w:b/>
        </w:rPr>
      </w:pPr>
      <w:r>
        <w:rPr>
          <w:b/>
        </w:rPr>
        <w:t xml:space="preserve">ОБЛАСТИ ПРИМЕНЕНИЯ </w:t>
      </w:r>
    </w:p>
    <w:p w14:paraId="3FE7C57C" w14:textId="75331D25" w:rsidR="00941EB1" w:rsidRDefault="00194451" w:rsidP="00CD27D7">
      <w:pPr>
        <w:spacing w:after="0"/>
        <w:jc w:val="both"/>
      </w:pPr>
      <w:r>
        <w:t xml:space="preserve">Генератор предназначен для мелкодисперсного распыления химических препаратов. Все части генератора имеющие контакт с химическими составами выполнены из </w:t>
      </w:r>
      <w:r w:rsidR="00CD27D7">
        <w:t>коррозионностойких материалов</w:t>
      </w:r>
      <w:r>
        <w:t xml:space="preserve"> (нерж. сталь, латунь, полиэтилен).</w:t>
      </w:r>
    </w:p>
    <w:p w14:paraId="398FED3B" w14:textId="77777777" w:rsidR="00941EB1" w:rsidRDefault="00194451" w:rsidP="00CD27D7">
      <w:pPr>
        <w:spacing w:after="0"/>
        <w:jc w:val="both"/>
      </w:pPr>
      <w:r>
        <w:t xml:space="preserve">Данный генератор может быть использован для: </w:t>
      </w:r>
    </w:p>
    <w:p w14:paraId="618CB956" w14:textId="77DE02BD" w:rsidR="00941EB1" w:rsidRDefault="00194451" w:rsidP="00CD27D7">
      <w:pPr>
        <w:spacing w:after="0"/>
        <w:jc w:val="both"/>
      </w:pPr>
      <w:r>
        <w:t>1. Дезинфекции, обработк</w:t>
      </w:r>
      <w:r w:rsidR="00CD27D7">
        <w:t>и</w:t>
      </w:r>
      <w:r>
        <w:t xml:space="preserve"> помещений (подвалы, склады, гостиницы, рестораны и т.д.) </w:t>
      </w:r>
    </w:p>
    <w:p w14:paraId="6EAF0E54" w14:textId="77777777" w:rsidR="00941EB1" w:rsidRDefault="00194451" w:rsidP="00CD27D7">
      <w:pPr>
        <w:spacing w:after="0"/>
        <w:jc w:val="both"/>
      </w:pPr>
      <w:r>
        <w:t xml:space="preserve">2. Защиты от вредителей продукции на плодоовощных базах, складах и других помещениях. </w:t>
      </w:r>
    </w:p>
    <w:p w14:paraId="4CC5908B" w14:textId="77777777" w:rsidR="00941EB1" w:rsidRDefault="00194451" w:rsidP="00CD27D7">
      <w:pPr>
        <w:spacing w:after="0"/>
        <w:jc w:val="both"/>
      </w:pPr>
      <w:r>
        <w:t>3. Обработки помещений для содержания животных и птицы, в том числе, в присутствии животных.</w:t>
      </w:r>
    </w:p>
    <w:p w14:paraId="52471137" w14:textId="77777777" w:rsidR="00941EB1" w:rsidRDefault="00194451" w:rsidP="00CD27D7">
      <w:pPr>
        <w:spacing w:after="0"/>
        <w:jc w:val="both"/>
      </w:pPr>
      <w:r>
        <w:t xml:space="preserve">4. Для охраны здоровья и обеспечения гигиены человека. </w:t>
      </w:r>
    </w:p>
    <w:p w14:paraId="0B6C5A54" w14:textId="77777777" w:rsidR="00941EB1" w:rsidRDefault="00194451" w:rsidP="00CD27D7">
      <w:pPr>
        <w:spacing w:after="0"/>
        <w:jc w:val="both"/>
      </w:pPr>
      <w:r>
        <w:t xml:space="preserve">5. Защиты от вредителей зеленых насаждений. </w:t>
      </w:r>
    </w:p>
    <w:p w14:paraId="50445660" w14:textId="18D7A003" w:rsidR="00941EB1" w:rsidRDefault="00194451" w:rsidP="00CD27D7">
      <w:pPr>
        <w:spacing w:after="0"/>
        <w:jc w:val="both"/>
      </w:pPr>
      <w:r>
        <w:t xml:space="preserve">Любые изменения и модификации, произведенные пользователем, недопустимы и лишают пользователя любых гарантийных обязательств со стороны производителя. </w:t>
      </w:r>
    </w:p>
    <w:p w14:paraId="68B28DE5" w14:textId="77777777" w:rsidR="00941EB1" w:rsidRDefault="00194451" w:rsidP="00CD27D7">
      <w:pPr>
        <w:jc w:val="both"/>
        <w:rPr>
          <w:b/>
        </w:rPr>
      </w:pPr>
      <w:r>
        <w:rPr>
          <w:b/>
        </w:rPr>
        <w:t xml:space="preserve">РАБОЧИЕ РАСТВОРЫ ДЛЯ ТУМАНООБРАЗОВАНИЯ </w:t>
      </w:r>
    </w:p>
    <w:p w14:paraId="3682E591" w14:textId="44F20848" w:rsidR="00941EB1" w:rsidRDefault="00194451" w:rsidP="00CD27D7">
      <w:pPr>
        <w:spacing w:after="0"/>
        <w:jc w:val="both"/>
      </w:pPr>
      <w:r>
        <w:t xml:space="preserve">Химические препараты должны смешиваться с чистой водой для подготовки рабочих растворов. Температура воды должна быть в пределах 20-30° С. </w:t>
      </w:r>
    </w:p>
    <w:p w14:paraId="64A17D90" w14:textId="4B64AD26" w:rsidR="00941EB1" w:rsidRDefault="00194451" w:rsidP="00CD27D7">
      <w:pPr>
        <w:spacing w:after="0"/>
        <w:jc w:val="both"/>
      </w:pPr>
      <w:r>
        <w:t xml:space="preserve">Для уменьшения размеров капель могут быть использованы специальные органические добавки, такие как гликоль, </w:t>
      </w:r>
      <w:proofErr w:type="spellStart"/>
      <w:r>
        <w:t>полиэтиленгликоль</w:t>
      </w:r>
      <w:proofErr w:type="spellEnd"/>
      <w:r>
        <w:t xml:space="preserve">, </w:t>
      </w:r>
      <w:proofErr w:type="spellStart"/>
      <w:r w:rsidR="00CD27D7">
        <w:t>н</w:t>
      </w:r>
      <w:r>
        <w:t>евокол</w:t>
      </w:r>
      <w:proofErr w:type="spellEnd"/>
      <w:r>
        <w:t xml:space="preserve"> или солярка. Внесение 5-10 % таких добавок позволяет добиться лучшего </w:t>
      </w:r>
      <w:proofErr w:type="spellStart"/>
      <w:r>
        <w:t>туманообразования</w:t>
      </w:r>
      <w:proofErr w:type="spellEnd"/>
      <w:r>
        <w:t xml:space="preserve"> и спектра капель. Данная рекомендация особенно важна при влажности воздуха менее 90%. </w:t>
      </w:r>
    </w:p>
    <w:p w14:paraId="12C8DBA9" w14:textId="47C6B299" w:rsidR="00941EB1" w:rsidRDefault="00194451" w:rsidP="00CD27D7">
      <w:pPr>
        <w:spacing w:after="0"/>
        <w:jc w:val="both"/>
      </w:pPr>
      <w:r>
        <w:t xml:space="preserve">Общий состав подготовленного состава (химические препараты и вода) никогда не должны </w:t>
      </w:r>
      <w:r w:rsidR="00CD27D7">
        <w:t>быть менее</w:t>
      </w:r>
      <w:r>
        <w:t xml:space="preserve"> 1 литр на 1000 </w:t>
      </w:r>
      <w:proofErr w:type="spellStart"/>
      <w:r>
        <w:t>кв.м</w:t>
      </w:r>
      <w:proofErr w:type="spellEnd"/>
      <w:r>
        <w:t xml:space="preserve">. при защите растений или 1000 м3 при других применениях. Рекомендуется использовать состав в размере 2-3 литров на 1000 м2 или 1000 м3 для лучшего </w:t>
      </w:r>
      <w:proofErr w:type="spellStart"/>
      <w:r>
        <w:t>туманообразования</w:t>
      </w:r>
      <w:proofErr w:type="spellEnd"/>
      <w:r>
        <w:t xml:space="preserve"> и покрытия. </w:t>
      </w:r>
    </w:p>
    <w:p w14:paraId="3E9FA3BB" w14:textId="77777777" w:rsidR="00941EB1" w:rsidRDefault="00194451" w:rsidP="00CD27D7">
      <w:pPr>
        <w:spacing w:after="0"/>
        <w:jc w:val="both"/>
      </w:pPr>
      <w:r>
        <w:t xml:space="preserve">Практически установлено, что следующие пропорции дают лучший результат: </w:t>
      </w:r>
    </w:p>
    <w:p w14:paraId="0D5925C3" w14:textId="77777777" w:rsidR="00941EB1" w:rsidRDefault="00194451" w:rsidP="00CD27D7">
      <w:pPr>
        <w:spacing w:after="0"/>
        <w:jc w:val="both"/>
      </w:pPr>
      <w:r>
        <w:t xml:space="preserve">• Порошковые составы и вода 1:15 до 1:25 </w:t>
      </w:r>
    </w:p>
    <w:p w14:paraId="300A61BD" w14:textId="77777777" w:rsidR="00941EB1" w:rsidRDefault="00194451" w:rsidP="00CD27D7">
      <w:pPr>
        <w:spacing w:after="0"/>
        <w:jc w:val="both"/>
      </w:pPr>
      <w:r>
        <w:t xml:space="preserve">• Жидкие составы и вода 1:10 до 1:20 </w:t>
      </w:r>
    </w:p>
    <w:p w14:paraId="57A1D225" w14:textId="05C2AF9C" w:rsidR="00941EB1" w:rsidRDefault="00194451" w:rsidP="00CD27D7">
      <w:pPr>
        <w:spacing w:after="0"/>
        <w:jc w:val="both"/>
      </w:pPr>
      <w:r>
        <w:t xml:space="preserve">Данные рекомендации основаны на международной практике применения генераторов. Однако пользователи в основном должны руководствоваться рекомендациями изготовителей химических препаратов. </w:t>
      </w:r>
    </w:p>
    <w:p w14:paraId="7607B798" w14:textId="77777777" w:rsidR="00941EB1" w:rsidRDefault="00194451" w:rsidP="00CD27D7">
      <w:pPr>
        <w:jc w:val="both"/>
        <w:rPr>
          <w:b/>
        </w:rPr>
      </w:pPr>
      <w:r>
        <w:rPr>
          <w:b/>
        </w:rPr>
        <w:t>УСТАНОВКА ГЕНЕРАТОРА</w:t>
      </w:r>
    </w:p>
    <w:p w14:paraId="6BB58E62" w14:textId="003BDD6D" w:rsidR="00941EB1" w:rsidRDefault="00194451" w:rsidP="00CD27D7">
      <w:pPr>
        <w:spacing w:after="0"/>
        <w:jc w:val="both"/>
      </w:pPr>
      <w:r>
        <w:t xml:space="preserve">Данный генератор предназначен для обработки 4000-5000 м2, однако рабочая зона может быть увеличена до 10000 м2 без изменения рабочей позиции при использовании дополнительных вентиляторов для обеспечения циркуляции тумана. </w:t>
      </w:r>
    </w:p>
    <w:p w14:paraId="2F242C54" w14:textId="77777777" w:rsidR="00941EB1" w:rsidRDefault="00194451" w:rsidP="00CD27D7">
      <w:pPr>
        <w:jc w:val="both"/>
        <w:rPr>
          <w:b/>
        </w:rPr>
      </w:pPr>
      <w:r>
        <w:rPr>
          <w:b/>
        </w:rPr>
        <w:t>ПРИМЕНЕНИЕ В ТЕПЛИЦАХ</w:t>
      </w:r>
    </w:p>
    <w:p w14:paraId="19C56D8E" w14:textId="64BC40A2" w:rsidR="00941EB1" w:rsidRDefault="00194451" w:rsidP="00CD27D7">
      <w:pPr>
        <w:spacing w:after="0"/>
        <w:jc w:val="both"/>
      </w:pPr>
      <w:r>
        <w:t xml:space="preserve">Установите генератор на ровную устойчивую поверхность и зафиксируйте колеса. Наилучшим положением является установка вдоль коридора. Избегайте положения, в котором, перед генератором на расстоянии 15 метров находятся значительные препятствия. Это может привести к нарушению распределения тумана. Высота установки вентилятора в общем случае зависти от </w:t>
      </w:r>
      <w:r>
        <w:lastRenderedPageBreak/>
        <w:t xml:space="preserve">высоты обрабатываемых растений. При установке генератора в коридоре высота установки должна соответствовать высоте обрабатываемых растений. В случае обработки маленьких растений (проросших семян) вентилятор необходимо установить на 40-50 см выше растений. Если невозможна установка вдоль помещения необходимо также установить генератор на 40-50 см выше растений. При обработке растений, не имеющих листьев на нижнее части ствола (огурцы, помидоры) генератор может быть установлен как можно ниже. </w:t>
      </w:r>
    </w:p>
    <w:p w14:paraId="2508809D" w14:textId="77777777" w:rsidR="00CD27D7" w:rsidRDefault="00CD27D7" w:rsidP="00CD27D7">
      <w:pPr>
        <w:spacing w:after="0"/>
        <w:jc w:val="both"/>
      </w:pPr>
    </w:p>
    <w:p w14:paraId="4608AEA9" w14:textId="77777777" w:rsidR="00941EB1" w:rsidRDefault="00194451" w:rsidP="00CD27D7">
      <w:pPr>
        <w:jc w:val="both"/>
        <w:rPr>
          <w:b/>
        </w:rPr>
      </w:pPr>
      <w:r>
        <w:rPr>
          <w:b/>
        </w:rPr>
        <w:t xml:space="preserve">ПОДГОТОВКА ГЕНЕРАТОРА </w:t>
      </w:r>
    </w:p>
    <w:p w14:paraId="56216D93" w14:textId="33065A45" w:rsidR="00941EB1" w:rsidRDefault="00194451" w:rsidP="00CD27D7">
      <w:pPr>
        <w:spacing w:after="0"/>
        <w:jc w:val="both"/>
      </w:pPr>
      <w:r>
        <w:t>1. Подсоедините электропитание насоса к блоку управления на кожухе установки</w:t>
      </w:r>
      <w:r w:rsidR="00CD27D7">
        <w:t>.</w:t>
      </w:r>
    </w:p>
    <w:p w14:paraId="5B75749F" w14:textId="4958D965" w:rsidR="00941EB1" w:rsidRDefault="00194451" w:rsidP="00CD27D7">
      <w:pPr>
        <w:spacing w:after="0"/>
        <w:jc w:val="both"/>
      </w:pPr>
      <w:r>
        <w:t>2. Подсоедините двигатель, отвечающий за вращение установки</w:t>
      </w:r>
      <w:r w:rsidR="00CD27D7">
        <w:t>.</w:t>
      </w:r>
    </w:p>
    <w:p w14:paraId="4407D7E5" w14:textId="30B10B55" w:rsidR="00941EB1" w:rsidRDefault="00194451" w:rsidP="00CD27D7">
      <w:pPr>
        <w:spacing w:after="0"/>
        <w:jc w:val="both"/>
      </w:pPr>
      <w:r>
        <w:t>3. Подсоедините трубку подачи жидкости к шаровому крану</w:t>
      </w:r>
      <w:r w:rsidR="00CD27D7">
        <w:t>.</w:t>
      </w:r>
    </w:p>
    <w:p w14:paraId="7BF247C0" w14:textId="6107317C" w:rsidR="00941EB1" w:rsidRDefault="00194451" w:rsidP="00CD27D7">
      <w:pPr>
        <w:spacing w:after="0"/>
        <w:jc w:val="both"/>
      </w:pPr>
      <w:r>
        <w:t>4. Залейте жидкость в бак</w:t>
      </w:r>
      <w:r w:rsidR="00CD27D7">
        <w:t>.</w:t>
      </w:r>
    </w:p>
    <w:p w14:paraId="18B78F9B" w14:textId="77777777" w:rsidR="00941EB1" w:rsidRDefault="00194451" w:rsidP="00CD27D7">
      <w:pPr>
        <w:spacing w:after="0"/>
        <w:jc w:val="both"/>
      </w:pPr>
      <w:r>
        <w:t>5. Подключите электропитание всей установки в 220V.</w:t>
      </w:r>
    </w:p>
    <w:p w14:paraId="550CF4B7" w14:textId="77777777" w:rsidR="00941EB1" w:rsidRDefault="00194451" w:rsidP="00CD27D7">
      <w:pPr>
        <w:spacing w:after="0"/>
        <w:jc w:val="both"/>
      </w:pPr>
      <w:r>
        <w:t>6. Включите тумблер, отвечающий за вращение установки, если это необходимо.</w:t>
      </w:r>
    </w:p>
    <w:p w14:paraId="6D14EE4A" w14:textId="77777777" w:rsidR="00941EB1" w:rsidRDefault="00194451" w:rsidP="00CD27D7">
      <w:pPr>
        <w:spacing w:after="0"/>
        <w:jc w:val="both"/>
      </w:pPr>
      <w:r>
        <w:t>7. Включите тумблер работы электродвигателя.</w:t>
      </w:r>
    </w:p>
    <w:p w14:paraId="5706769B" w14:textId="77777777" w:rsidR="00941EB1" w:rsidRDefault="00194451" w:rsidP="00CD27D7">
      <w:pPr>
        <w:spacing w:after="0"/>
        <w:jc w:val="both"/>
      </w:pPr>
      <w:r>
        <w:t>8. Включите тумблер, отвечающий за работу насоса.</w:t>
      </w:r>
    </w:p>
    <w:p w14:paraId="2E00FD8A" w14:textId="77777777" w:rsidR="00941EB1" w:rsidRDefault="00194451" w:rsidP="00CD27D7">
      <w:pPr>
        <w:spacing w:after="0"/>
        <w:jc w:val="both"/>
      </w:pPr>
      <w:r>
        <w:t>9. Поверните шаровой кран и отрегулируйте необходимую подачу жидкости.</w:t>
      </w:r>
    </w:p>
    <w:p w14:paraId="770B59D1" w14:textId="77777777" w:rsidR="00941EB1" w:rsidRDefault="00194451" w:rsidP="00CD27D7">
      <w:pPr>
        <w:jc w:val="both"/>
        <w:rPr>
          <w:b/>
        </w:rPr>
      </w:pPr>
      <w:r>
        <w:rPr>
          <w:b/>
        </w:rPr>
        <w:t xml:space="preserve">ПРАВИЛА БЕЗОПАСНОСТИ </w:t>
      </w:r>
    </w:p>
    <w:p w14:paraId="4C01453D" w14:textId="310548B9" w:rsidR="00941EB1" w:rsidRDefault="00194451" w:rsidP="00CD27D7">
      <w:pPr>
        <w:spacing w:after="0"/>
        <w:jc w:val="both"/>
      </w:pPr>
      <w:r>
        <w:t xml:space="preserve">1. При подготовке рабочего раствора используйте рекомендации производителей химических препаратов. Изготовитель оборудования не несет ответственности за повреждения, полученные в </w:t>
      </w:r>
    </w:p>
    <w:p w14:paraId="67CA09AD" w14:textId="77777777" w:rsidR="00941EB1" w:rsidRDefault="00194451" w:rsidP="00CD27D7">
      <w:pPr>
        <w:spacing w:after="0"/>
        <w:jc w:val="both"/>
      </w:pPr>
      <w:r>
        <w:t xml:space="preserve">случае нарушения рекомендаций производителей химических препаратов. </w:t>
      </w:r>
    </w:p>
    <w:p w14:paraId="50DAD19F" w14:textId="1D17B19B" w:rsidR="00CD27D7" w:rsidRDefault="00194451" w:rsidP="00CD27D7">
      <w:pPr>
        <w:spacing w:after="0"/>
        <w:jc w:val="both"/>
      </w:pPr>
      <w:r>
        <w:t xml:space="preserve">2. Генератор работает в автономном режиме и рекомендуется после запуска генератора немедленно покинуть обрабатываемое помещение. Если присутствие оператора необходимо, используйте </w:t>
      </w:r>
      <w:r w:rsidR="00CD27D7">
        <w:t>защитные средства,</w:t>
      </w:r>
      <w:r>
        <w:t xml:space="preserve"> рекомендованные производителем химических препаратов (комбинезон, защитная маска или шлем, перчатки) для предотвращения контакта кожи и дыхательных путей применяемыми химикатами. </w:t>
      </w:r>
    </w:p>
    <w:p w14:paraId="22FD3448" w14:textId="6B87B941" w:rsidR="00941EB1" w:rsidRDefault="00194451" w:rsidP="00CD27D7">
      <w:pPr>
        <w:spacing w:after="0"/>
        <w:jc w:val="both"/>
      </w:pPr>
      <w:r>
        <w:t xml:space="preserve">В закрытых помещениях – таких как теплицы, используйте специальные маски с установленными </w:t>
      </w:r>
    </w:p>
    <w:p w14:paraId="4A1B62CE" w14:textId="264E4B3C" w:rsidR="00941EB1" w:rsidRDefault="00194451" w:rsidP="00CD27D7">
      <w:pPr>
        <w:spacing w:after="0"/>
        <w:jc w:val="both"/>
      </w:pPr>
      <w:r>
        <w:t xml:space="preserve">фильтрами (газовый фильтр тип А, газовый фильтр класс 2 и пылевой фильтр минимум Р III). При использовании составов более 1% воздушной массы или при более 15 % выхлопных газов используйте специальные независимые системы дыхания. При концентрациях выше 1% химических препаратов или кислорода менее 15% объема используйте специальные респираторы </w:t>
      </w:r>
    </w:p>
    <w:p w14:paraId="17AA5F91" w14:textId="77777777" w:rsidR="00941EB1" w:rsidRDefault="00194451" w:rsidP="00CD27D7">
      <w:pPr>
        <w:spacing w:after="0"/>
        <w:jc w:val="both"/>
      </w:pPr>
      <w:r>
        <w:t xml:space="preserve">(соответствующие требованиям государственным органам охраны труда ZH 1/134, Класс 5,2 и 5,3). </w:t>
      </w:r>
    </w:p>
    <w:p w14:paraId="54F4E3EE" w14:textId="4B7EEBE9" w:rsidR="00941EB1" w:rsidRDefault="00194451" w:rsidP="00CD27D7">
      <w:pPr>
        <w:spacing w:after="0"/>
        <w:jc w:val="both"/>
      </w:pPr>
      <w:r>
        <w:t xml:space="preserve">3.  Комнаты, обработанные опасными для здоровья операторов препаратами, могут быть использованы только после тщательной вентиляции или с использованием средств защиты кожи и дыхательных путей. </w:t>
      </w:r>
    </w:p>
    <w:p w14:paraId="51D8FC46" w14:textId="77777777" w:rsidR="00941EB1" w:rsidRDefault="00194451" w:rsidP="00CD27D7">
      <w:pPr>
        <w:spacing w:after="0"/>
        <w:jc w:val="both"/>
      </w:pPr>
      <w:r>
        <w:t xml:space="preserve">4. Производите вытяжную вентиляцию для предотвращения некачественной вентиляции </w:t>
      </w:r>
    </w:p>
    <w:p w14:paraId="0C52E8F7" w14:textId="77777777" w:rsidR="00941EB1" w:rsidRDefault="00194451" w:rsidP="00CD27D7">
      <w:pPr>
        <w:spacing w:after="0"/>
        <w:jc w:val="both"/>
      </w:pPr>
      <w:r>
        <w:t xml:space="preserve">обработанных помещений. </w:t>
      </w:r>
    </w:p>
    <w:p w14:paraId="5B155EBD" w14:textId="5F2D39BC" w:rsidR="00941EB1" w:rsidRDefault="00194451" w:rsidP="00CD27D7">
      <w:pPr>
        <w:spacing w:after="0"/>
        <w:jc w:val="both"/>
      </w:pPr>
      <w:r>
        <w:t xml:space="preserve">5. Операторы должны быть проинструктированы перед началом работ о применении необходимых средств индивидуальной защиты. </w:t>
      </w:r>
    </w:p>
    <w:p w14:paraId="2140E4C6" w14:textId="38ACCEC3" w:rsidR="00941EB1" w:rsidRDefault="00194451" w:rsidP="00CD27D7">
      <w:pPr>
        <w:spacing w:after="0"/>
        <w:jc w:val="both"/>
      </w:pPr>
      <w:r>
        <w:t xml:space="preserve">6. Все работы по обслуживанию и ремонту генератора должны производиться только на выключенном генераторе. Работы, связанные с электрической частью, должны производиться только специально обученными людьми. </w:t>
      </w:r>
    </w:p>
    <w:p w14:paraId="519555B9" w14:textId="77777777" w:rsidR="00941EB1" w:rsidRDefault="00194451" w:rsidP="00CD27D7">
      <w:pPr>
        <w:spacing w:after="0"/>
        <w:jc w:val="both"/>
      </w:pPr>
      <w:r>
        <w:t xml:space="preserve">7. После проведения обслуживания и ремонта необходимо установить все предусмотренные </w:t>
      </w:r>
    </w:p>
    <w:p w14:paraId="69067338" w14:textId="77777777" w:rsidR="00941EB1" w:rsidRDefault="00194451" w:rsidP="00CD27D7">
      <w:pPr>
        <w:spacing w:after="0"/>
        <w:jc w:val="both"/>
      </w:pPr>
      <w:r>
        <w:t xml:space="preserve">устройства безопасности. </w:t>
      </w:r>
    </w:p>
    <w:p w14:paraId="377F2374" w14:textId="77777777" w:rsidR="00941EB1" w:rsidRDefault="00194451" w:rsidP="00CD27D7">
      <w:pPr>
        <w:spacing w:after="0"/>
        <w:jc w:val="both"/>
      </w:pPr>
      <w:r>
        <w:t>8. Рекомендуется раз в год производить обслуживание.</w:t>
      </w:r>
    </w:p>
    <w:p w14:paraId="237FF980" w14:textId="77777777" w:rsidR="00941EB1" w:rsidRDefault="00194451" w:rsidP="00CD27D7">
      <w:pPr>
        <w:spacing w:after="0"/>
        <w:jc w:val="both"/>
      </w:pPr>
      <w:r>
        <w:t xml:space="preserve">9. При присоединении генератора к сети питания соблюдайте правила электробезопасности. </w:t>
      </w:r>
    </w:p>
    <w:p w14:paraId="7B8F0785" w14:textId="77777777" w:rsidR="00CD27D7" w:rsidRDefault="00CD27D7" w:rsidP="00CD27D7">
      <w:pPr>
        <w:jc w:val="both"/>
        <w:rPr>
          <w:b/>
        </w:rPr>
      </w:pPr>
    </w:p>
    <w:p w14:paraId="7F936D9A" w14:textId="5884D93E" w:rsidR="00941EB1" w:rsidRDefault="00194451" w:rsidP="00CD27D7">
      <w:pPr>
        <w:jc w:val="both"/>
        <w:rPr>
          <w:b/>
        </w:rPr>
      </w:pPr>
      <w:r>
        <w:rPr>
          <w:b/>
        </w:rPr>
        <w:t xml:space="preserve">ГАРАНТИЯ </w:t>
      </w:r>
    </w:p>
    <w:p w14:paraId="2D320032" w14:textId="1B65AA98" w:rsidR="00941EB1" w:rsidRDefault="00194451" w:rsidP="00CD27D7">
      <w:pPr>
        <w:spacing w:after="0"/>
        <w:jc w:val="both"/>
      </w:pPr>
      <w:r>
        <w:lastRenderedPageBreak/>
        <w:t xml:space="preserve">Производитель оставляет за собой право изменять конструкцию без предварительного оповещения для улучшения конструкции и повышению эффективности работ. Гарантия покрывает только методы и способы, описанные в данной инструкции. Любые повреждения оборудования и персонала, возникшие при некорректном использовании генератора не описанные в данном руководстве </w:t>
      </w:r>
      <w:r w:rsidR="00CD27D7">
        <w:t>гарантией,</w:t>
      </w:r>
      <w:r>
        <w:t xml:space="preserve"> не покрываются.</w:t>
      </w:r>
    </w:p>
    <w:sectPr w:rsidR="00941EB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3FC1"/>
    <w:multiLevelType w:val="hybridMultilevel"/>
    <w:tmpl w:val="2A149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46D21"/>
    <w:multiLevelType w:val="hybridMultilevel"/>
    <w:tmpl w:val="BBBC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B1"/>
    <w:rsid w:val="00194451"/>
    <w:rsid w:val="00941EB1"/>
    <w:rsid w:val="00CD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3340F"/>
  <w15:docId w15:val="{DFF7F433-3699-429D-AA22-A79BA68A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CD2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2022-02-04T11:07:00Z</dcterms:created>
  <dcterms:modified xsi:type="dcterms:W3CDTF">2022-02-14T07:11:00Z</dcterms:modified>
</cp:coreProperties>
</file>